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300" w:afterAutospacing="0"/>
        <w:ind w:left="0" w:right="0" w:firstLine="0"/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fldChar w:fldCharType="begin"/>
      </w: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instrText xml:space="preserve"> HYPERLINK "https://www.creative-enzymes.com/service/screening-of-substrates-inhibitors-and-other-ligands_65.html" </w:instrText>
      </w: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fldChar w:fldCharType="separate"/>
      </w: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3"/>
          <w:szCs w:val="23"/>
          <w:shd w:val="clear" w:fill="F7F7F7"/>
        </w:rPr>
        <w:t>Screening of Substrates, Inhibitors, and Other Ligands</w:t>
      </w: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30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Creative Enzymes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is a leading professional in the field of enzyme ligand screening. We are specialized in rapid and accurate evaluation of substrates, inhibitors, and other ligands for specific enzymes, based on high-throughput experiments or computational simulation results. In other cases, we also provide screening of active enzymes against specific substrates or inhibitors, which would help to identify the functioning enzymes in a pathway or the biological target of a small molecule.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15" w:lineRule="atLeast"/>
        <w:rPr>
          <w:rFonts w:ascii="sans-serif" w:hAnsi="sans-serif" w:eastAsia="sans-serif" w:cs="sans-serif"/>
          <w:b/>
          <w:bCs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9122B"/>
          <w:spacing w:val="0"/>
          <w:shd w:val="clear" w:fill="F7F7F7"/>
        </w:rPr>
        <w:t>Features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150" w:afterAutospacing="0"/>
        <w:ind w:left="720" w:hanging="360"/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Advanced: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state-of-the-art candidates handling and tracking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150" w:afterAutospacing="0"/>
        <w:ind w:left="720" w:hanging="360"/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Huge screening platform: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240,000 compounds, with 3 library subsets designed for specific screening needs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150" w:afterAutospacing="0"/>
        <w:ind w:left="720" w:hanging="360"/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Updated: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each candidate is up-to-date, less than 2 years old at time of selection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150" w:afterAutospacing="0"/>
        <w:ind w:left="720" w:hanging="360"/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Reliable: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candidates have been rigorously selected to exclude undesirable features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150" w:afterAutospacing="0"/>
        <w:ind w:left="720" w:hanging="360"/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Development-ready:</w:t>
      </w:r>
      <w:r>
        <w:rPr>
          <w:rFonts w:hint="default" w:ascii="Arial" w:hAnsi="Arial" w:eastAsia="Arial" w:cs="Arial"/>
          <w:i w:val="0"/>
          <w:iCs w:val="0"/>
          <w:caps w:val="0"/>
          <w:color w:val="09122B"/>
          <w:spacing w:val="0"/>
          <w:sz w:val="23"/>
          <w:szCs w:val="23"/>
          <w:shd w:val="clear" w:fill="F7F7F7"/>
        </w:rPr>
        <w:t> all candidates or building blocks are available in trial sizes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2CECA6"/>
    <w:multiLevelType w:val="multilevel"/>
    <w:tmpl w:val="FE2CEC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jUxNzVlMTIxZjk1OGYzNDBkNjg4YTlhNTMzYTAifQ=="/>
  </w:docVars>
  <w:rsids>
    <w:rsidRoot w:val="00000000"/>
    <w:rsid w:val="3D233F03"/>
    <w:rsid w:val="578C2978"/>
    <w:rsid w:val="797B7D3B"/>
    <w:rsid w:val="7CE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2024-01-29T17:18:49Z</dcterms:created>
  <dc:creator>Administrator</dc:creator>
  <cp:lastModifiedBy>WPS_1636184100</cp:lastModifiedBy>
  <dcterms:modified xsi:type="dcterms:W3CDTF">2024-01-29T17:24:31Z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9114EBC56F7D461B837A96B336DD5A7F_12</vt:lpwstr>
  </property>
</Properties>
</file>